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Malgun Gothic" w:hAnsi="Malgun Gothic" w:eastAsia="맑은 고딕"/>
          <w:b/>
          <w:sz w:val="40"/>
        </w:rPr>
        <w:t>차  용  증</w:t>
      </w:r>
    </w:p>
    <w:p>
      <w:pPr>
        <w:spacing w:after="140"/>
        <w:jc w:val="center"/>
      </w:pPr>
      <w:r>
        <w:rPr>
          <w:rFonts w:ascii="Malgun Gothic" w:hAnsi="Malgun Gothic" w:eastAsia="맑은 고딕"/>
          <w:b w:val="0"/>
          <w:sz w:val="17"/>
        </w:rPr>
        <w:t>채무자는 아래와 같이 금전을 차용하였음을 확인하고 정한 조건에 따라 변제할 것을 약정합니다.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555555"/>
          <w:left w:val="single" w:sz="8" w:color="555555"/>
          <w:bottom w:val="single" w:sz="8" w:color="555555"/>
          <w:right w:val="single" w:sz="8" w:color="555555"/>
          <w:insideH w:val="single" w:sz="8" w:color="555555"/>
          <w:insideV w:val="single" w:sz="8" w:color="555555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채권자 성명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채무자 성명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생년월일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생년월일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주소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주소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연락처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연락처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차용금액</w:t>
            </w:r>
          </w:p>
        </w:tc>
        <w:tc>
          <w:tcPr>
            <w:tcW w:type="dxa" w:w="7989"/>
            <w:vAlign w:val="center"/>
            <w:gridSpan w:val="3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금                         원정 (₩                         )</w:t>
            </w:r>
          </w:p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차용일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20     년     월     일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변제기일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20     년     월     일</w:t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이자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연        % / 무이자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이자 지급일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매월     일 / 기타:</w:t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상환방식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□ 일시상환  □ 분할상환  □ 기타: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변제방법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□ 계좌이체  □ 현금  □ 기타:</w:t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변제계좌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은행:                    계좌번호: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예금주</w:t>
            </w:r>
          </w:p>
        </w:tc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c>
          <w:tcPr>
            <w:tcW w:type="dxa" w:w="2663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  <w:shd w:fill="E8F0F7"/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지연손해금</w:t>
            </w:r>
          </w:p>
        </w:tc>
        <w:tc>
          <w:tcPr>
            <w:tcW w:type="dxa" w:w="7989"/>
            <w:vAlign w:val="center"/>
            <w:gridSpan w:val="3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연        % / 별도 약정 없음</w:t>
            </w:r>
          </w:p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</w:tbl>
    <w:p>
      <w:pPr>
        <w:spacing w:before="60" w:after="80"/>
      </w:pPr>
      <w:r>
        <w:rPr>
          <w:rFonts w:ascii="Malgun Gothic" w:hAnsi="Malgun Gothic" w:eastAsia="맑은 고딕"/>
          <w:b w:val="0"/>
          <w:sz w:val="14"/>
        </w:rPr>
        <w:t>※ 이자 및 지연손해금은 관련 법령에서 정한 최고이자율 범위에서 약정합니다.</w:t>
      </w:r>
    </w:p>
    <w:p>
      <w:pPr>
        <w:spacing w:after="40"/>
      </w:pPr>
      <w:r>
        <w:rPr>
          <w:rFonts w:ascii="Malgun Gothic" w:hAnsi="Malgun Gothic" w:eastAsia="맑은 고딕"/>
          <w:b/>
          <w:sz w:val="21"/>
        </w:rPr>
        <w:t>약정 내용</w:t>
      </w:r>
    </w:p>
    <w:p>
      <w:pPr>
        <w:spacing w:after="20"/>
        <w:ind w:left="113"/>
      </w:pPr>
      <w:r>
        <w:rPr>
          <w:rFonts w:ascii="Malgun Gothic" w:hAnsi="Malgun Gothic" w:eastAsia="맑은 고딕"/>
          <w:b w:val="0"/>
          <w:sz w:val="16"/>
        </w:rPr>
        <w:t>1. 채무자는 위 차용금액을 변제기일까지 채권자에게 지급합니다.</w:t>
      </w:r>
    </w:p>
    <w:p>
      <w:pPr>
        <w:spacing w:after="20"/>
        <w:ind w:left="113"/>
      </w:pPr>
      <w:r>
        <w:rPr>
          <w:rFonts w:ascii="Malgun Gothic" w:hAnsi="Malgun Gothic" w:eastAsia="맑은 고딕"/>
          <w:b w:val="0"/>
          <w:sz w:val="16"/>
        </w:rPr>
        <w:t>2. 이자를 약정한 경우 위 기재한 이율과 지급일에 따라 지급합니다.</w:t>
      </w:r>
    </w:p>
    <w:p>
      <w:pPr>
        <w:spacing w:after="20"/>
        <w:ind w:left="113"/>
      </w:pPr>
      <w:r>
        <w:rPr>
          <w:rFonts w:ascii="Malgun Gothic" w:hAnsi="Malgun Gothic" w:eastAsia="맑은 고딕"/>
          <w:b w:val="0"/>
          <w:sz w:val="16"/>
        </w:rPr>
        <w:t>3. 분할상환을 하는 경우 각 상환일과 금액은 특약사항에 구체적으로 기재합니다.</w:t>
      </w:r>
    </w:p>
    <w:p>
      <w:pPr>
        <w:spacing w:after="20"/>
        <w:ind w:left="113"/>
      </w:pPr>
      <w:r>
        <w:rPr>
          <w:rFonts w:ascii="Malgun Gothic" w:hAnsi="Malgun Gothic" w:eastAsia="맑은 고딕"/>
          <w:b w:val="0"/>
          <w:sz w:val="16"/>
        </w:rPr>
        <w:t>4. 계좌이체 등 변제방법과 지연 시 처리 등 추가 합의사항은 아래 특약사항에 기재합니다.</w:t>
      </w:r>
    </w:p>
    <w:p>
      <w:pPr>
        <w:spacing w:before="40" w:after="40"/>
      </w:pPr>
      <w:r>
        <w:rPr>
          <w:rFonts w:ascii="Malgun Gothic" w:hAnsi="Malgun Gothic" w:eastAsia="맑은 고딕"/>
          <w:b/>
          <w:sz w:val="21"/>
        </w:rPr>
        <w:t>특약사항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color="555555"/>
          <w:left w:val="single" w:sz="8" w:color="555555"/>
          <w:bottom w:val="single" w:sz="8" w:color="555555"/>
          <w:right w:val="single" w:sz="8" w:color="555555"/>
          <w:insideH w:val="single" w:sz="8" w:color="555555"/>
          <w:insideV w:val="single" w:sz="8" w:color="555555"/>
        </w:tblBorders>
      </w:tblPr>
      <w:tblGrid>
        <w:gridCol w:w="10652"/>
      </w:tblGrid>
      <w:tr>
        <w:trPr>
          <w:trHeight w:val="454"/>
        </w:trPr>
        <w:tc>
          <w:tcPr>
            <w:tcW w:type="dxa" w:w="10652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10652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10652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sz w:val="19"/>
        </w:rPr>
        <w:t>기타 확인</w:t>
      </w:r>
    </w:p>
    <w:p>
      <w:pPr>
        <w:spacing w:after="20"/>
        <w:ind w:left="113"/>
      </w:pPr>
      <w:r>
        <w:rPr>
          <w:rFonts w:ascii="Malgun Gothic" w:hAnsi="Malgun Gothic" w:eastAsia="맑은 고딕"/>
          <w:b w:val="0"/>
          <w:sz w:val="15"/>
        </w:rPr>
        <w:t>• 본 차용증은 당사자가 각 1부씩 보관하는 것을 권장합니다.</w:t>
      </w:r>
    </w:p>
    <w:p>
      <w:pPr>
        <w:spacing w:after="20"/>
        <w:ind w:left="113"/>
      </w:pPr>
      <w:r>
        <w:rPr>
          <w:rFonts w:ascii="Malgun Gothic" w:hAnsi="Malgun Gothic" w:eastAsia="맑은 고딕"/>
          <w:b w:val="0"/>
          <w:sz w:val="15"/>
        </w:rPr>
        <w:t>• 원금과 이자를 모두 변제한 경우 완제 사실을 확인할 수 있는 영수증 또는 확인서를 보관하는 것이 좋습니다.</w:t>
      </w:r>
    </w:p>
    <w:p>
      <w:pPr>
        <w:spacing w:before="80" w:after="60"/>
        <w:jc w:val="center"/>
      </w:pPr>
      <w:r>
        <w:rPr>
          <w:rFonts w:ascii="Malgun Gothic" w:hAnsi="Malgun Gothic" w:eastAsia="맑은 고딕"/>
          <w:b w:val="0"/>
          <w:sz w:val="16"/>
        </w:rPr>
        <w:t>위 내용을 확인하고 당사자 간 합의에 따라 본 차용증을 작성합니다.</w:t>
      </w:r>
    </w:p>
    <w:p>
      <w:pPr>
        <w:spacing w:after="80"/>
        <w:jc w:val="center"/>
      </w:pPr>
      <w:r>
        <w:rPr>
          <w:rFonts w:ascii="Malgun Gothic" w:hAnsi="Malgun Gothic" w:eastAsia="맑은 고딕"/>
          <w:b/>
          <w:sz w:val="17"/>
        </w:rPr>
        <w:t>20      년      월      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color="555555"/>
          <w:left w:val="single" w:sz="8" w:color="555555"/>
          <w:bottom w:val="single" w:sz="8" w:color="555555"/>
          <w:right w:val="single" w:sz="8" w:color="555555"/>
          <w:insideH w:val="single" w:sz="8" w:color="555555"/>
          <w:insideV w:val="single" w:sz="8" w:color="555555"/>
        </w:tblBorders>
      </w:tblPr>
      <w:tblGrid>
        <w:gridCol w:w="5326"/>
        <w:gridCol w:w="5326"/>
      </w:tblGrid>
      <w:tr>
        <w:tc>
          <w:tcPr>
            <w:tcW w:type="dxa" w:w="5326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채권자 성명:                         (서명 또는 인)</w:t>
            </w:r>
          </w:p>
        </w:tc>
        <w:tc>
          <w:tcPr>
            <w:tcW w:type="dxa" w:w="5326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채무자 성명:                         (서명 또는 인)</w:t>
            </w:r>
          </w:p>
        </w:tc>
      </w:tr>
      <w:tr>
        <w:tc>
          <w:tcPr>
            <w:tcW w:type="dxa" w:w="5326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주소:</w:t>
            </w:r>
          </w:p>
        </w:tc>
        <w:tc>
          <w:tcPr>
            <w:tcW w:type="dxa" w:w="5326"/>
            <w:vAlign w:val="center"/>
            <w:tcMar>
              <w:top w:w="40" w:type="dxa"/>
              <w:bottom w:w="40" w:type="dxa"/>
              <w:start w:w="65" w:type="dxa"/>
              <w:end w:w="65" w:type="dxa"/>
            </w:tcMar>
          </w:tcPr>
          <w:p>
            <w:pPr>
              <w:spacing w:after="0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주소:</w:t>
            </w:r>
          </w:p>
        </w:tc>
      </w:tr>
    </w:tbl>
    <w:p>
      <w:pPr>
        <w:spacing w:before="80" w:after="0"/>
      </w:pPr>
      <w:r>
        <w:rPr>
          <w:rFonts w:ascii="Malgun Gothic" w:hAnsi="Malgun Gothic" w:eastAsia="맑은 고딕"/>
          <w:b/>
          <w:sz w:val="14"/>
        </w:rPr>
        <w:t xml:space="preserve">작성 참고  </w:t>
      </w:r>
      <w:r>
        <w:rPr>
          <w:rFonts w:ascii="Malgun Gothic" w:hAnsi="Malgun Gothic" w:eastAsia="맑은 고딕"/>
          <w:b w:val="0"/>
          <w:sz w:val="14"/>
        </w:rPr>
        <w:t>본 서식은 일반적인 금전 차용 관계의 작성 참고용입니다. 실제 거래 조건이나 개별 상황에 따라 필요한 내용이 달라질 수 있습니다. 중요한 금전거래나 법률관계가 포함된 경우 관련 기관 또는 전문가의 확인이 필요할 수 있습니다.</w:t>
      </w:r>
    </w:p>
    <w:sectPr w:rsidR="00FC693F" w:rsidRPr="0006063C" w:rsidSect="00034616">
      <w:pgSz w:w="12240" w:h="15840"/>
      <w:pgMar w:top="567" w:right="794" w:bottom="51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